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C0" w:rsidRDefault="001D6FC0"/>
    <w:p w:rsidR="003B6003" w:rsidRDefault="003B6003" w:rsidP="003B6003">
      <w:pPr>
        <w:pStyle w:val="1"/>
        <w:shd w:val="clear" w:color="auto" w:fill="F0F6FB"/>
        <w:spacing w:before="90" w:after="150"/>
        <w:rPr>
          <w:rFonts w:ascii="Helvetica" w:hAnsi="Helvetica"/>
          <w:color w:val="438DAD"/>
        </w:rPr>
      </w:pPr>
      <w:proofErr w:type="spellStart"/>
      <w:r>
        <w:rPr>
          <w:rFonts w:ascii="Helvetica" w:hAnsi="Helvetica"/>
          <w:color w:val="438DAD"/>
        </w:rPr>
        <w:t>Коронавирусная</w:t>
      </w:r>
      <w:proofErr w:type="spellEnd"/>
      <w:r>
        <w:rPr>
          <w:rFonts w:ascii="Helvetica" w:hAnsi="Helvetica"/>
          <w:color w:val="438DAD"/>
        </w:rPr>
        <w:t xml:space="preserve"> инфекция - COVID-19, 9-я редакция</w:t>
      </w:r>
    </w:p>
    <w:p w:rsidR="003B6003" w:rsidRPr="003B6003" w:rsidRDefault="003B6003" w:rsidP="003B6003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3B6003">
        <w:rPr>
          <w:rFonts w:ascii="inherit" w:eastAsia="Times New Roman" w:hAnsi="inherit" w:cs="Times New Roman"/>
          <w:sz w:val="36"/>
          <w:szCs w:val="36"/>
          <w:lang w:eastAsia="ru-RU"/>
        </w:rPr>
        <w:t>Краткое описание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Объединенной комиссией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качеству медицинских услуг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«15» июня 2020 года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№98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(COVID-19)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острое инфекционное заболевание, вызываемое новым штаммом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SARS CoV-2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аэрозольно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-капельным и контактно-бытовым механизмом передачи;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патогенетически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виремией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 и системным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иммуновоспалительным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каскада,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эндотелиопатией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гипоксией, приводящих к развитию микро- 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макротромбозов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;  протекает от бессимптомных до клинически выраженных форм с интоксикацией, поражением эндотелия сосудов, легких, сердца, почек, ЖКТ, центральной и периферической нервной систем с риском развития осложнений (ОДН, ОРДС, ТЭЛА, сепсис, шок, СПОН) [1,2]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Код(ы) МКБ-10:</w:t>
      </w:r>
    </w:p>
    <w:tbl>
      <w:tblPr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9291"/>
      </w:tblGrid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МКБ-10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 CОVID-19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U07.2.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 CОVID-19 ( Вирус не идентифицирован) для провизорных стационаров</w:t>
            </w:r>
          </w:p>
        </w:tc>
      </w:tr>
    </w:tbl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разработки/пересмотра протокола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2020 год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(Разработан - 3.02.2020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(1-я редакция-03.02.2020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(2-я редакция - 26.02.2020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(3-я редакция - 18.03.2020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(4-я редакция - 20.03.2020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(5-я редакция - 01.04.2020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(6-я редакция - 15.04.2020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(7-я редакция - 06.05.2020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(8- редакция - 28.05.2020 г.);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(9-я редакция - 15.06.2020 г.).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Сокращения, используемые в протоколе: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50"/>
        <w:gridCol w:w="7514"/>
      </w:tblGrid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активированное частичное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диссеминированное внутрисосудистое свертывание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вентиляция легких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кислотно-щелочное равновесие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нормализованное отношение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средства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неинвазивнаяискусственная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вентиляция легких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дыхательная недостаточность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повреждение почек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респираторная вирусная инфекция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ОРЗ/ОРИ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респираторное заболевание/инфекция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респираторный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дистресс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сердечно-сосудистая недостаточность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ПГГСВ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полимеразная цепная реакция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рибонуклеиновая кислота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систолическое артериальное давление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артериальное давление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оседания эритроцитов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полиорганной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недостаточности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острая респираторная инфекция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тромбоэмболия легочной артерии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сердечная недостаточность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впервые выявленная в 2019 г.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ТОРС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/SARS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ТОРС-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вызывающий тяжелый острый респираторный синдром/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Severe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acute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syndrome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coronavirus</w:t>
            </w:r>
            <w:proofErr w:type="spellEnd"/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SARS CoV-2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короновирус-2, вызывающий COVID-19 (тяжелый острый респираторный синдром 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Severe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acute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syndrome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coronavirus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СPAP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положительное давление в дыхательных путях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FiO</w:t>
            </w:r>
            <w:r w:rsidRPr="003B600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фракция вдыхаемого кислорода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оксигенации</w:t>
            </w:r>
            <w:proofErr w:type="spellEnd"/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оксигенации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PaO</w:t>
            </w:r>
            <w:r w:rsidRPr="003B600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парциальное давление кислорода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давление конца выдоха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</w:t>
            </w:r>
            <w:r w:rsidRPr="003B6003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сатурация кислородом</w:t>
            </w:r>
          </w:p>
        </w:tc>
      </w:tr>
    </w:tbl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протокола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инфекционисты, детские инфекционисты, врачи и фельдшеры скорой неотложной помощи, врачи общей практики, терапевты, педиатры, гастроэнтерологи, пульмонологи,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фтизиопульмонологи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анестезиологи-реаниматологи, акушер-гинекологи,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  лучевой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неонатологи,  кардиологи, невропатологи, психологи,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реабилитологи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организаторы здравоохранения.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пациентов: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 взрослые, в том числе беременные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уровня доказательности: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9690"/>
      </w:tblGrid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 результаты, которых могут быть распространены на соответствующую популяцию.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Высококачественный (++) систематический обзор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когортных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исследований случай-контроль или Высококачественное (++)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когортное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Когортное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исследование случай-контроль или контролируемое исследование без рандомизации с невысоким риском систематической ошибки (+).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серии случаев или неконтролируемое исследование, или мнение экспертов.</w:t>
            </w:r>
          </w:p>
        </w:tc>
      </w:tr>
      <w:tr w:rsidR="003B6003" w:rsidRPr="003B6003" w:rsidTr="003B6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Наилучшая клиническая практика.</w:t>
            </w:r>
          </w:p>
        </w:tc>
      </w:tr>
    </w:tbl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03" w:rsidRPr="003B6003" w:rsidRDefault="003B6003" w:rsidP="003B6003">
      <w:pPr>
        <w:shd w:val="clear" w:color="auto" w:fill="6A9FBE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</w:pPr>
      <w:r w:rsidRPr="003B6003"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  <w:t>Классификация</w:t>
      </w:r>
    </w:p>
    <w:p w:rsidR="003B6003" w:rsidRPr="003B6003" w:rsidRDefault="003B6003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классификация [3,</w:t>
      </w:r>
      <w:r w:rsidRPr="003B6003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  <w:t>4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075"/>
      </w:tblGrid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клинических проявлений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Бессимптомная форма (положительный  результат ПЦР РНК SARSCoV-2, отсутствие жалоб, клинических симптомов и патологических изменений при  инструментальной визуализации легких)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варианты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верхних дыхательных путей (ринит, фарингит)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Поражения нижних дыхательных путей (вирусная пневмония)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Внелегочные COVID-ассоциированные поражения (гастроэнтерит, нефрит, миокардит, неврит обонятельного нерва,  менингит, энцефалит,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полинейропатияи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тяжести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-легкая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-среднетяжелая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-тяжелая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-крайне тяжелая/критическая  (ОДН, ОРДС, шок,  СПОН)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течению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-сверхострое (ОРДС)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острое (типичное)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затяжное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Осложнения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ОРДС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Сепсис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Септический шок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-СПОН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-ТЭЛА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ОНМК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ОИМ</w:t>
            </w:r>
          </w:p>
        </w:tc>
      </w:tr>
    </w:tbl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 </w:t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отсутствии жалоб не исключает наличие патологических изменений  в </w:t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легких при визуализации (рентгенография/КТ органов грудной клетки)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формулировки диагноза:</w:t>
      </w:r>
    </w:p>
    <w:p w:rsidR="003B6003" w:rsidRPr="003B6003" w:rsidRDefault="003B6003" w:rsidP="003B6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19,легкой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тяжести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Ринофарингит.Подтвержденный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 (ПЦРРНК SARS CoV-2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назофарингиального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мазка положительный, дата).</w:t>
      </w:r>
    </w:p>
    <w:p w:rsidR="003B6003" w:rsidRPr="003B6003" w:rsidRDefault="003B6003" w:rsidP="003B6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COVID-19,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степени тяжести. Двусторонняя нижнедолевая </w:t>
      </w:r>
      <w:proofErr w:type="spellStart"/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пневмония.Подтвержденный</w:t>
      </w:r>
      <w:proofErr w:type="spellEnd"/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 (ПЦРРНК SARSCoV-2  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назофарингиального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мазка и др. положительный, дата).</w:t>
      </w:r>
    </w:p>
    <w:p w:rsidR="003B6003" w:rsidRPr="003B6003" w:rsidRDefault="003B6003" w:rsidP="003B6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COVID-19,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тяжелое течение. Двусторонняя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полисегментарная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пневмония. Подтвержденный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случай(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ПЦР РНК SARS CoV-2    –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назофарингиального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мазка, бронхоальвеолярного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лаважа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положительный, дата).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Осложнение: ОДН3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ст.ОРДС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Сепсис. Септический шок 2 ст. СПОН.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Сопутствующий диагноз: АГ 3 ст., риск 4, ХСН ФК 4, СД 2 типа, ожирение и т.д.</w:t>
      </w:r>
    </w:p>
    <w:p w:rsidR="003B6003" w:rsidRPr="003B6003" w:rsidRDefault="003B6003" w:rsidP="003B6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провизорных стационаров: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внебольничная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полисегментарная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пневмония. Осложнение: ДН 0-1 ст.  U07.2.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CОVID-19 (Вирус не идентифицирован)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hd w:val="clear" w:color="auto" w:fill="6A9FBE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</w:pPr>
      <w:r w:rsidRPr="003B6003"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  <w:t>Диагностика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МЕТОДЫ, ПОДХОДЫ И ПРОЦЕДУРЫ ДИАГНОСТИКИ [4-7]: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критерии у взрослых: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 и анамнез: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- 2-14 дней.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(или без повышения температуры)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слабость, недомогание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потливость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миалгия и ломота в теле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першение в горле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(редкий сухой с небольшим количеством трудноотделяемой мокроты, может быть мучительным, приступообразным)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стеснения, сдавления в грудной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клетке(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вдохнуть полной грудью)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вкуса и обоняния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беспокойное поведение (ажитация)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 (редко)</w:t>
      </w:r>
    </w:p>
    <w:p w:rsidR="003B6003" w:rsidRPr="003B6003" w:rsidRDefault="003B6003" w:rsidP="003B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 (требуется уточнение причины)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тяжелом течении:</w:t>
      </w:r>
    </w:p>
    <w:p w:rsidR="003B6003" w:rsidRPr="003B6003" w:rsidRDefault="003B6003" w:rsidP="003B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одышка (на момент осмотра или в динамике заболевания)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дыхание, ощущение нехватки воздуха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сердцебиение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 (редко)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животе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области сердца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упорная головная боль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</w:t>
      </w:r>
    </w:p>
    <w:p w:rsidR="003B6003" w:rsidRPr="003B6003" w:rsidRDefault="003B6003" w:rsidP="003B6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мочи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критерии у детей: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Жалобы:</w:t>
      </w:r>
    </w:p>
    <w:p w:rsidR="003B6003" w:rsidRPr="003B6003" w:rsidRDefault="003B6003" w:rsidP="003B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</w:t>
      </w:r>
    </w:p>
    <w:p w:rsidR="003B6003" w:rsidRPr="003B6003" w:rsidRDefault="003B6003" w:rsidP="003B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</w:t>
      </w:r>
    </w:p>
    <w:p w:rsidR="003B6003" w:rsidRPr="003B6003" w:rsidRDefault="003B6003" w:rsidP="003B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 (чаще у детей старшего возраста)</w:t>
      </w:r>
    </w:p>
    <w:p w:rsidR="003B6003" w:rsidRPr="003B6003" w:rsidRDefault="003B6003" w:rsidP="003B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</w:t>
      </w:r>
    </w:p>
    <w:p w:rsidR="003B6003" w:rsidRPr="003B6003" w:rsidRDefault="003B6003" w:rsidP="003B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слабость, вялость, недомогание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тяжелом течении:</w:t>
      </w:r>
    </w:p>
    <w:p w:rsidR="003B6003" w:rsidRPr="003B6003" w:rsidRDefault="003B6003" w:rsidP="003B6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кашель</w:t>
      </w:r>
    </w:p>
    <w:p w:rsidR="003B6003" w:rsidRPr="003B6003" w:rsidRDefault="003B6003" w:rsidP="003B6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</w:t>
      </w:r>
    </w:p>
    <w:p w:rsidR="003B6003" w:rsidRPr="003B6003" w:rsidRDefault="003B6003" w:rsidP="003B6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и затрудненное дыхание</w:t>
      </w:r>
    </w:p>
    <w:p w:rsidR="003B6003" w:rsidRPr="003B6003" w:rsidRDefault="003B6003" w:rsidP="003B6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сердцебиение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риска развития COVID-19 у детей</w:t>
      </w:r>
    </w:p>
    <w:p w:rsidR="003B6003" w:rsidRPr="003B6003" w:rsidRDefault="003B6003" w:rsidP="003B6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 1 года дети с дефицитом массы тела (более 30%), рахитом, железодефицитной анемией, с бронхиальной астмой, пороками сердца, патологией эндокринной, выделительной систем,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гемоглобинопатиями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метаболическим синдромом,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онкозаболеваниями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003" w:rsidRPr="003B6003" w:rsidRDefault="003B6003" w:rsidP="003B6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разного генеза (в 1,5 раза чаще регистрируют пневмонии);</w:t>
      </w:r>
    </w:p>
    <w:p w:rsidR="003B6003" w:rsidRPr="003B6003" w:rsidRDefault="003B6003" w:rsidP="003B6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коинфекция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риносинцитиальный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риновирус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бокавирус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аденовирус), что утяжеляет течение заболевания и приводит к поражению нижних отделов респираторного тракта (пневмония,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бронхиолит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риска тяжелого и осложненного течения у взрослых:</w:t>
      </w:r>
    </w:p>
    <w:p w:rsidR="003B6003" w:rsidRPr="003B6003" w:rsidRDefault="003B6003" w:rsidP="003B6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старше 65 лет</w:t>
      </w:r>
    </w:p>
    <w:p w:rsidR="003B6003" w:rsidRPr="003B6003" w:rsidRDefault="003B6003" w:rsidP="003B6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БСК (артериальная гипертония, ХСН и др.)</w:t>
      </w:r>
    </w:p>
    <w:p w:rsidR="003B6003" w:rsidRPr="003B6003" w:rsidRDefault="003B6003" w:rsidP="003B6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хронические заболевания дыхательной системы (ХОБЛ, БА, фиброзные изменения в легких и др.)</w:t>
      </w:r>
    </w:p>
    <w:p w:rsidR="003B6003" w:rsidRPr="003B6003" w:rsidRDefault="003B6003" w:rsidP="003B6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Эндокринопатии (сахарный диабет, метаболический синдром, ожирение и др.)</w:t>
      </w:r>
    </w:p>
    <w:p w:rsidR="003B6003" w:rsidRPr="003B6003" w:rsidRDefault="003B6003" w:rsidP="003B6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Иммунодефицитные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(онкологические, гематологические больные, больные на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др.)</w:t>
      </w:r>
    </w:p>
    <w:p w:rsidR="003B6003" w:rsidRPr="003B6003" w:rsidRDefault="003B6003" w:rsidP="003B6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тяжелые хронические заболевания (ХБП и др.)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Стандартное определение случая COVID-19[1,8]: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случая заболевания COVID-19(ВОЗ, 27 февраля 2020 года)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Подозрительный случай.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A.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с любым ОРЗ с наличием в эпидемиологическом анамнезе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близкогоконтакта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подтвержденным или вероятным случаем COVID-19 в течение 14 дней до начала симптомов;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Пациент с любым ОРЗ неустановленной этиологии, имеющий повышенную температуру тела и один из респираторных симптомов(кашель, затрудненное дыхание, одышка)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любой ТОРИ и пневмонией неустановленной этиологии, имеющий повышенную температуру тела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респираторных симптомов(кашель, затрудненное дыхание, одышка);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любым заболеванием, посещавший медицинскую организацию в течение последних14 дней, где был зарегистрирован COVID-19;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или другое лицо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слюбым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ОРЗ неустановленной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этиологии,обеспечивающее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уход за больным с респираторными симптомами (кашель, затрудненное дыхание, одышка), или лабораторные специалисты, работавшие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биообразцами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 COVID-19 без рекомендованных СИЗ или с возможным нарушением правил применения СИЗ;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Вероятный случай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Подозрительный случай, при котором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  типичные  КТ – признаки COVID пневмонии;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летальный исход от пневмонии/ОРДС неуточненной этиологии;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положительный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результатИФА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экспресс-теста с обнаружением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антителJgM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JgG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JgM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JgG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Подтвержденный случай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Лабораторное подтверждение инфекции COVID-19 методом ПЦР-ОТ, независимо от клинических признаков и симптомов.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*Близкий контакт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Близкий контакт вероятного или подтвержденного случая определяется как: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-лицо, проживающее совместно с подтверждённым случаем  COVID-19 в одном жилище;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-лицо, имеющее незащищенный прямой контакт с больным с повышенной температурой и респираторными симптомами (кашель, затрудненное дыхание, одышка);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-лицо, находившееся в закрытом помещении в течение 15 минут или более (например, в классе, комнате для совещаний, комнате ожидания в больнице и т.д.) вместе с подозрительным или вероятным случаем COVID-19, который в последствие подтвердился;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-контакт со случаем COVID-19 в самолете, автобусе, поезде или в другом транспортном средстве на  расстоянии двух сидений в любом направлении от больного COVID-19, а также члены экипажа самолета,  водители,  проводники.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Физикальное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обследование: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уровня сознания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менингеальных симптомов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кожных покровов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видимых слизистых оболочек верхних дыхательных путей (гиперемия задней стенки глотки)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термометрия (предпочтительна бесконтактная)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АД, ЧСС, ЧДД</w:t>
      </w:r>
    </w:p>
    <w:p w:rsidR="003B6003" w:rsidRPr="003B6003" w:rsidRDefault="003B6003" w:rsidP="003B6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пульсоксиметрияв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покое и при нагрузке (в динамике)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степени тяжести COVID-19 у взрослых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(критериями тяжести являются выраженность гипоксемии, наличие /отсутствие пневмонии и ДН) 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[9]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89"/>
        <w:gridCol w:w="3153"/>
        <w:gridCol w:w="3005"/>
      </w:tblGrid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тяжести 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степень </w:t>
            </w:r>
            <w:r w:rsidRPr="003B6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(клиника ОРВИ без пневмонии)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Среднетяжелая степень </w:t>
            </w:r>
            <w:r w:rsidRPr="003B6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(клиника ОРВИ или пневмонии без выраженной дыхательной недостаточности)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степень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(клиника пневмонии с дыхательной недостаточностью)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затруднения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Одышки при обычных (бытовых) нагрузках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 при незначительной нагрузке или в покое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ЧДД менее 24 в 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24&gt;ЧДД &lt;30 в 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ЧДД &gt;30 в 1 мин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SpO2 в покое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SpO2  &gt; 95 %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93% &gt;SpO2  &lt; 95 %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SpO2  &lt; 93 %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легких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изменений на 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признаки пневмонии (&lt;30% поражения легких) без признаков ДН)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признаки пневмонии, &gt; 50 % поражения легких:</w:t>
            </w:r>
          </w:p>
        </w:tc>
      </w:tr>
      <w:tr w:rsidR="003B6003" w:rsidRPr="003B6003" w:rsidTr="003B6003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признаков пневмонии тяжесть  заболевания определяется степенью выраженности интоксикации и катарального синдрома: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или субфебрильная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 температуры  тела (чаще фебрильная)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   (субфебрильная, фебрильная, реже- нормальная)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катаральные явления (гиперемия зева, першение в горле, заложенность носа, кашель)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симптомы интоксикации (головная боль, недомогание, потливость, мышечные боли, снижение аппетита), малопродуктивный кашель; катаральные симптомы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малопродуктивный кашель (приступообразный); одышка или чувство стеснения в груди, затрудненное дыхание ;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симптомы интоксикации (головная боль, ломота во всем теле, потливость, бессонница,  анорексия, тошнота, рвота);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60-80 уд. в мин. у детей старше 5 лет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90–120 уд. в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более 120 уд. в мин.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гемограммы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лейкоцитов, нейтрофилов, тромбоцитов в пределах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лейкопения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выраженная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лейкопения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лимфопения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анэозинофилия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тромбоцитопения</w:t>
            </w:r>
          </w:p>
        </w:tc>
      </w:tr>
    </w:tbl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Критическое течение характеризуется развитием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жизнеугрожающих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(ОДН,  ОРДС,  сепсис,  септический шок,  СПОН, ТЭЛА) (Приложение 3).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Клинические синдромы, связанные с инфекцией COVID-19 у детей [10-13]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7647"/>
      </w:tblGrid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течение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температуры тела, снижение аппетита, боль в горле, заложенность носа, кашель (сухой или с образованием мокроты), (SpO2 &gt;95%)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нетяжелой пневмонией, с кашлем или затрудненным и учащенным дыханием (учащенное дыхание (количество вдохов/мин): для возраста &lt;2 месяцев: ≥ 60; 2–11 месяцев: ≥ 50; 1–5 лет: ≥ 40, без признаков тяжелого течения заболевания (SpO2 ≤ 95%)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пневмония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 кашлем или затрудненным дыханием, наблюдается по крайней мере один из следующих симптомов: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B6003" w:rsidRPr="003B6003" w:rsidRDefault="003B6003" w:rsidP="003B600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цианоз или уровень SpO2 </w:t>
            </w:r>
            <w:proofErr w:type="gram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90</w:t>
            </w:r>
            <w:proofErr w:type="gram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3B6003" w:rsidRPr="003B6003" w:rsidRDefault="003B6003" w:rsidP="003B600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проявление дыхательной недостаточности (стонущее дыхание, очень сильное западение грудной клетки на вдохе);</w:t>
            </w:r>
          </w:p>
          <w:p w:rsidR="003B6003" w:rsidRPr="003B6003" w:rsidRDefault="003B6003" w:rsidP="003B600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пневмонии с общим опасным симптомом: ребенок не может сосать грудь или пить, вялость или потеря </w:t>
            </w:r>
            <w:proofErr w:type="gram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сознания</w:t>
            </w:r>
            <w:proofErr w:type="gram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судороги.</w:t>
            </w:r>
          </w:p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присутствовать другие признаки пневмонии: западение грудной клетки на вдохе, учащенное дыхание (количество вдохов/мин.): для возраста &lt;2 месяцев ≥ 60; 2-11 месяцев, ≥ 50; 1–5 лет, ≥ 40.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Хотя диагноз ставится по клиническим признакам, некоторые легочные осложнения можно выявить или исключить с помощью визуализации грудной клетки.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тяжелая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недостаточность (с необходимостью респираторной поддержки), респираторный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дистресс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-синдром, шок, признаки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полиорганной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недостаточности (энцефалопатия, сердечно-сосудистая,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почечная, печеночная недостаточность, синдром диссеминированного внутрисосудистого свертывания).</w:t>
            </w:r>
          </w:p>
        </w:tc>
      </w:tr>
    </w:tbl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исследования [4,7]: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крови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определением абсолютного и относительного количества эритроцитов, гемоглобина, гематокрита (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гемоконцентрация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лейкоцитов, тромбоцитов, показателей лейкоцитарной формулы (чем тяжелее течение, тем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выраженнее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изменения): лейкопения, 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лимфопения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анэозинофилия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тромбоцитопения, при присоединении или активации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бактериальной  флоры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лейкоцитоз,  «сдвиг формулы влево», повышение СОЭ;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мочи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альбуминурия,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гемоглобинурия (COVID-ассоциированный нефрит);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биохимический анализ крови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электролиты (К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+,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+,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++,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++), АЛТ, АСТ, билирубин, глюкоза, общий белок, альбумин, мочевина,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лактатдегидрагеназа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(изменение показателей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прогрессировании заболевания 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развитииосложнений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уровня С-реактивного белка в сыворотке крови (при тяжелом течении)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коррелирует с тяжестью воспалительного процесса</w:t>
      </w:r>
      <w:r w:rsidRPr="003B6003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,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распространенностью воспалительной инфильтрации.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исследование газов артериальной крови с определением PaO</w:t>
      </w:r>
      <w:r w:rsidRPr="003B6003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2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PaCO</w:t>
      </w:r>
      <w:r w:rsidRPr="003B6003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  <w:lang w:eastAsia="ru-RU"/>
        </w:rPr>
        <w:t>2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бикарбонатов,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лактата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госпитализированным пациентам с признаками ОДН (SрO</w:t>
      </w:r>
      <w:r w:rsidRPr="003B6003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менее 93% по данным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кислородной поддержки);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Д-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димера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риска развития венозных тромбоэмболий (повышается);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определениеПВ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МНО и АЧТВ (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показаниям: пациентам с тяжелым течением);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кетоновых тел в моче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показаниям у больных с СД);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посев крови на стерильность и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гемокультуру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подозрении на сепсис);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посев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мокроты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подозрении на бактериальную этиологию пневмонии;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прокальцитониновый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 </w:t>
      </w:r>
      <w:r w:rsidRPr="003B6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бактериальной этиологией пневмонии,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сепсиса (повышается);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Креатинфосфокиназа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тропонин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тяжелом течении,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 у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старшего возраста, пациентов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коморбидностью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прогрессировании заболевания, свидетельствует о неблагоприятном прогнозе, риске коронарного события;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Интерлейкин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6 -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иммунного ответа, избыточная продукция отмечается при развитии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шторма в патогенезе ОРДС;</w:t>
      </w:r>
    </w:p>
    <w:p w:rsidR="003B6003" w:rsidRPr="003B6003" w:rsidRDefault="003B6003" w:rsidP="003B6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Ферритин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повышение при тяжелом течении, особенно при ОРДС.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Лабораторная диагностика специфическая (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13»)</w:t>
      </w: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 SARS CoV-2  COVID-19 методом ПЦР-ОТ. Отбор проб проводится медицинским работником организаций здравоохранения с использованием СИЗ.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 </w:t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поступлении в стационар лиц с  положительным  результатом  ПЦР  РНК SARS CoV-2   повторное ПЦР- исследование   не проводится. Контрольное  ПЦР-исследование проводится  перед выпиской из стационара.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 материалы: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мазок из носоглотки и ротоглотки(важно соблюдение техники отбора биоматериала),мокрота,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эндотрахеальный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аспират или 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бронхоальвеолярный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лаваж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пациент на ИВЛ). При наличии у пациента продуктивного кашля нужно провести исследование мокроты. Если у пациента нет мокроты, то стимулировать ее не рекомендуется (в связи с риском образования аэрозоля). Результаты исследования образцов из нижних дыхательных путей являются более информативными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Категорически запрещается проведение бронхоскопии с диагностической целью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момента транспортировки, взятые образцы необходимо хранить в холодильнике, при температурном режиме от 2 до 4 градусов.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Иммунологический метод диагностики COVID-19: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иммуноферментного (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иммунохемилюминесцентного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электрохемилюмиинесцентного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анализа и его интерпретация представлены в Приложении 8.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Инструментальные исследования: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(проводятся медицинским работником с использованием СИЗ):</w:t>
      </w:r>
    </w:p>
    <w:p w:rsidR="003B6003" w:rsidRPr="003B6003" w:rsidRDefault="003B6003" w:rsidP="003B6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пульсоксиметрия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измерением SpO</w:t>
      </w:r>
      <w:r w:rsidRPr="003B6003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выявления дыхательной недостаточности, выраженности </w:t>
      </w:r>
      <w:proofErr w:type="spellStart"/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гипоксемии.Необходимо</w:t>
      </w:r>
      <w:proofErr w:type="spellEnd"/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измерение в динамике и записывать параметры сатурации не только в покое, но и при нагрузке (ходьба по комнате в течение 6 мин.) (Приложение 10);</w:t>
      </w:r>
    </w:p>
    <w:p w:rsidR="003B6003" w:rsidRPr="003B6003" w:rsidRDefault="003B6003" w:rsidP="003B6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электрокардиография (ЭКГ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стандартных отведениях рекомендуется всем госпитализированным </w:t>
      </w:r>
      <w:proofErr w:type="spellStart"/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пациентам.Определенные</w:t>
      </w:r>
      <w:proofErr w:type="spellEnd"/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на ЭКГ (удлинение интервала QT) требуют внимания при выборе и оценке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кардиотоксичности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этиотропныхпрепаратов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003" w:rsidRPr="003B6003" w:rsidRDefault="003B6003" w:rsidP="003B6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эхокардиография (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ЭхоКГ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)-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миокардит, оценки косвенных признаков ТЭЛА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на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ЭхоКГ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Пациенты с COVID19 с сопутствующими ССЗ: признаки сердечной недостаточности, отеки нижних конечностей, нарушение ритма сердца на ЭКГ, шумовая картина при аускультации сердца.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Пациенты с подострым началом одышки, отеков нижних конечностей, болей за грудиной, шумов в сердце и повышение Тропинина в крови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В приоритете пациенты с признаками сердечной недостаточности NYHA III-IV, острая сердечная недостаточность, клапанные болезни сердца и обморочные состояния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 данные: высокий кальциевый индекс коронарных артерий,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гидроперикардит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дилатация правых отделов сердца, признаки легочной гипертензии.</w:t>
      </w:r>
    </w:p>
    <w:p w:rsidR="003B6003" w:rsidRPr="003B6003" w:rsidRDefault="003B6003" w:rsidP="003B6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скрининговое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компрессионное</w:t>
      </w:r>
      <w:proofErr w:type="gram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УЗИ (КУЗИ)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вен  нижних конечностей  всем тяжелым и критическим пациентам при поступлении и  через 48 ч,  а также  КУЗИ  яремной и подключичной вен (особенно при длительной катетеризации) для выявления признаков тромбоза глубоких и поверхностных вен;</w:t>
      </w:r>
    </w:p>
    <w:p w:rsidR="003B6003" w:rsidRPr="003B6003" w:rsidRDefault="003B6003" w:rsidP="003B6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обзорная рентгенография органов грудной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клетки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лицам с подозрительным/вероятным/подтвержденным случаем COVID-19 независимо от наличия/отсутствия жалоб и клинических </w:t>
      </w:r>
      <w:proofErr w:type="spellStart"/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проявлений.Рентген</w:t>
      </w:r>
      <w:proofErr w:type="spellEnd"/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-негативный результат не исключает COVID-19 пневмонию, в связи с чем требуется проведение КТ грудного сегмента. При ведении больных с тяжелой пневмонией в условиях ОРИТ для оценки динамики требуется ежедневное проведение контрольной рентгенографии до устойчивого положительного результата (не менее 2-х рентгенограмм с описанием положительной динамики), затем по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показаниям.Основные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рентгенологические признаки вирусной пневмонии (в том числе COVID-19): двухстороннее усиление и сгущение легочного рисунка за счет 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интерстициального компонента, множественные двухсторонние фокусы затемнения легочных полей по типу «матового стекла» или консолидации, расположенные к периферии, симптом «воздушной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бронхограммы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B6003" w:rsidRPr="003B6003" w:rsidRDefault="003B6003" w:rsidP="003B6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компьютерная томография </w:t>
      </w:r>
      <w:proofErr w:type="gram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  грудной</w:t>
      </w:r>
      <w:proofErr w:type="gram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клетки (высоко информативна)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диагностики: распределение инфильтрации двухстороннее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полисегментарное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преимущественно периферическое, основные признаки - многочисленные  уплотнения по типу «матового стекла» с участками консолидации различной  формы и протяженности; дополнительные признаки - ретикулярные  изменения по типу «булыжной мостовой» («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crazy-paving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расположенные к периферии.  (Приложение7). При наличии инфильтративных изменений на КТ и отрицательной клинической динамике, тяжелом течении пневмонии, развитии ОРДС решение о сроках повторного проведения КТ принимается индивидуально. У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симптомных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с COVID-19 в 56% случаев в первые 3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  изменения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КТ исследовании  легких могут отсутствовать [14].     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обеспечивает низкую дозу облучения плода и может быть использована по показаниям  во время беременности [15,16].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получить информированное согласие у беременной на проведение КТ, а также накрыть живот специальным экраном для защиты (рентгенозащитным фартуком) [17]. </w:t>
      </w:r>
    </w:p>
    <w:p w:rsidR="003B6003" w:rsidRPr="003B6003" w:rsidRDefault="003B6003" w:rsidP="003B6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Ультразвуковое исследование органов грудной клетки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у пациентов в критическом состоянии, находящихся в ОРИТ при невозможности их транспортировки или при отсутствии возможности выполнения КТ. Ультразвуковые признаки COVID – пневмонии: неровность, прерывистость плевральной линии, отсутствие плевральной линии по поверхности консолидации, появление В-линий в различных вариантах – единичные, множественные и сливающиеся («белое легкое»), консолидации в различных вариантах – кортикальные локальные, кортикальные распространенные, сегментарные и долевые, воздушная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эхобронхограмма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встречается в сегментарных и долевых консолидациях, плевральный выпот, появление A-линий на стадии выздоровления [18].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КТ признаков COVID-19 [19-21]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7439"/>
      </w:tblGrid>
      <w:tr w:rsidR="003B6003" w:rsidRPr="003B6003" w:rsidTr="003B6003"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процесса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Доминирующие КТ-признаки</w:t>
            </w:r>
          </w:p>
        </w:tc>
      </w:tr>
      <w:tr w:rsidR="003B6003" w:rsidRPr="003B6003" w:rsidTr="003B6003"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стадия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(0-4 дня)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 матового стекла,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локальные ретикулярные  изменения по типу «булыжной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мостовой»на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 матового стекла (“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crazy-paving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”),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ограниченное число пораженных сегментов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(преимущественно нижние доли)</w:t>
            </w:r>
          </w:p>
        </w:tc>
      </w:tr>
      <w:tr w:rsidR="003B6003" w:rsidRPr="003B6003" w:rsidTr="003B6003"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прогрессирования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(5-8 дней)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распространенности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вышеописанных симптомов,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появление очагов консолидации</w:t>
            </w:r>
          </w:p>
        </w:tc>
      </w:tr>
      <w:tr w:rsidR="003B6003" w:rsidRPr="003B6003" w:rsidTr="003B6003"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стадия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(10-13 дней)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 консолидации,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перилобулярные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уплотнения,  плевральный выпот (редко)</w:t>
            </w:r>
          </w:p>
        </w:tc>
      </w:tr>
      <w:tr w:rsidR="003B6003" w:rsidRPr="003B6003" w:rsidTr="003B6003"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Стадия разрешения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(более 14 дней)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или полное разрешение</w:t>
            </w:r>
          </w:p>
        </w:tc>
      </w:tr>
    </w:tbl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консультаций специалистов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(преимущественно дистанционно):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пульмонолога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пациентов с тяжелой пневмонией при присоединений бактериальной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флоры,  с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сопутствующей бронхолегочной патологией (ХОБЛ).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реаниматолога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для диагностики ДН, ОРДС и других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осложнений,  определения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 перевода в ОРИТ и  на ИВЛ;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клинического фармаколога –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рационального подбора лекарственных средств с учетом их взаимодействия.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эндокринолога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 больных с сопутствующим сахарным диабетом в случае трудностей в коррекции лечения (перевод на инсулинотерапию);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кардиолога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–при изменениях на ЭКГ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иподозрении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острый коронарный синдром, миокардит, для коррекции лечения пациентов с сопутствующей сердечно сосудистой патологией,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определениясхемы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антикоагулянтной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акушера-гинеколога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 развитии COVID-19у беременных;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фтизиатра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 подозрении на специфический процесс;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нефролога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развитии поражения почек;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невропатолога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неврологических проявлений;</w:t>
      </w:r>
    </w:p>
    <w:p w:rsidR="003B6003" w:rsidRPr="003B6003" w:rsidRDefault="003B6003" w:rsidP="003B600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психолога, психиатра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 показаниям) –для психоэмоциональной поддержки;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Диагностический алгоритм: [22]</w:t>
      </w:r>
    </w:p>
    <w:p w:rsid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3724275"/>
            <wp:effectExtent l="0" t="0" r="0" b="9525"/>
            <wp:docPr id="2" name="Рисунок 2" descr="Диагностический алгоритм К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_image" descr="Диагностический алгоритм К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82D6D" w:rsidRPr="003B6003" w:rsidRDefault="00482D6D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03" w:rsidRPr="003B6003" w:rsidRDefault="003B6003" w:rsidP="003B6003">
      <w:pPr>
        <w:shd w:val="clear" w:color="auto" w:fill="6A9FBE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</w:pPr>
      <w:r w:rsidRPr="003B6003"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  <w:lastRenderedPageBreak/>
        <w:t>Дифференциальный диагноз</w:t>
      </w:r>
    </w:p>
    <w:p w:rsidR="003B6003" w:rsidRPr="003B6003" w:rsidRDefault="003B6003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Дифференциальный диагноз и обоснование дополнительных исследований: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дифференциальной диагностики COVID-19: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3099"/>
        <w:gridCol w:w="2821"/>
        <w:gridCol w:w="1882"/>
      </w:tblGrid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Обоснование для дифференциальной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исключения диагноза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начало,  лихорадка, миалгии, артралгии, катаральный синдром, диарея (до 25 %),геморрагический синдром (при тяжелом течении)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 РНК вируса гриппа в ПЦР (мазок из носоглотки,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бронхоальвелярный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лаваж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пациент на ИВЛ)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результат ПЦР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Метапневмовирусная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начало, лихорадка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Ринит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Бронхит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Пневмония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Осложнение: ДН, ОРДС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РНК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метапневмовируса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ПЦР (мазок из носоглотки,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бронхоальвелярный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лаваж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пациент на ИВЛ)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результат ПЦР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Бокавирусная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начало,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лихорадка Фарингит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Бронхиолит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Пневмония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Осложнение: ДН, ОРДС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РНК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бокавируса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ПЦР (мазок из носоглотки,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бронхоальвелярный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лаваж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пациент на ИВЛ)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результат ПЦР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Корь, катаральный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 начало,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Лихорадка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Катаральный синдром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специфических антител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результат в ИФА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Атипичная пневмония (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микоплазменная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хламидийная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легионеллезная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Постепенное  начало,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Лихорадка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Катаральный синдром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Обнаружение специфических антител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результат в ИФА</w:t>
            </w:r>
          </w:p>
        </w:tc>
      </w:tr>
    </w:tbl>
    <w:p w:rsidR="003B6003" w:rsidRPr="003B6003" w:rsidRDefault="003B6003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Дифференциальная диагностика пневмоний вирусной и бактериальной этиологии: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010"/>
        <w:gridCol w:w="2265"/>
        <w:gridCol w:w="5048"/>
      </w:tblGrid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Первичная вирусная пневмония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Вирусно-бактериальная пневмония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Вторичная бактериальная пневмония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Пневмотропность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вируса, проникновение в альвеолы,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утолщение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межальвеолярных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перегородок и репликация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обострение хронических  очагов инфекции (чаще пневмококки,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стафилококки) на фоне вирусной пневмонии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иммунодефицита,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суперинфицирование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бактериальной флорой или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обострение хронических  очагов инфекции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«-«   флора) на фоне разрешения вирусной пневмонии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первых 12–36 часов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первой и начала второй недели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болезни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Лихорадка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одноволновая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одноволновая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длительная или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двухволновая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ознобом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двухволновая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ознобом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непродуктивный кашель (примесь крови при гриппе)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 кашель с трудно отделяемой мокротой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(чаще слизистый 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кашель со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-гнойной,  гнойной мокротой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Плевральные боли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Аускультативно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жесткое дыхание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хрипов на фоне жесткого или ослабленного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бронхиальноеилиослабленноевезикулярное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звучныемелкопузырчатыехрипыиликрепитация</w:t>
            </w:r>
            <w:proofErr w:type="spellEnd"/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Рентгенологическая картина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диффузных инфильтратов с очагами фокальной консолидации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Диффузные инфильтративные затемнения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затемнение, инфильтрация (очаговая, сегментарная, долевая и более)легочной ткани.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Лейкопения,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лимфопения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(COVID-19), относительный лимфоцитоз (грипп), тромбоцитопения (грипп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Лейкопения,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лимфопения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 начале заболевания с последующим развитием лейкоцитоза с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нейтрофилезом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Лейкоцитоз,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нейтрофилез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Ускоренная СОЭ</w:t>
            </w:r>
          </w:p>
        </w:tc>
      </w:tr>
    </w:tbl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6003" w:rsidRDefault="003B6003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6D" w:rsidRDefault="00482D6D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6D" w:rsidRDefault="00482D6D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D6D" w:rsidRPr="003B6003" w:rsidRDefault="00482D6D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03" w:rsidRPr="003B6003" w:rsidRDefault="003B6003" w:rsidP="003B6003">
      <w:pPr>
        <w:shd w:val="clear" w:color="auto" w:fill="6A9FBE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</w:pPr>
      <w:r w:rsidRPr="003B6003"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  <w:lastRenderedPageBreak/>
        <w:t>Лечение (амбулатория)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ЛЕЧЕНИЯ НА АМБУЛАТОРНОМ УРОВНЕ: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Ведение лиц с бессимптомной формой COVID-19.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лиц без клинических симптомов на момент выявления положительного результата ПЦР в течение 14 дней наблюдения (продолжительность инкубационного периода)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 появиться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клинические симптомы, поэтому они подлежат медицинскому наблюдению ПМСП в домашних условиях.  Рекомендуется соблюдение противоэпидемического режима в соответствие с Постановлением Главного Государственного санитарного врача, так как лица с бессимптомной формой заболевания являются источником инфекции. При отсутствии возможности изоляции в домашних условиях наблюдение проводится в карантинных центрах по согласованию с местным Департаментом общественного здоровья.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Этиотропное лечение лиц с бессимптомной формой COVID-19 не проводится. 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 в амбулаторных условиях  проводится согласно  алгоритма: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-ежедневный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двухкратный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обзвон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-оценка общего состояния, температуры, выяснение жалоб (кашель, затрудненное дыхание, слабость, потливость, диарея, сыпь, миалгии и др.), сатурация (при возможности).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необходимости, но не реже 1 раза в 3 дня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развитии клинических симптомов (повышение температуры тела, кашель, затрудненное дыхание, одышка) в период наблюдения   пациент направляется в инфекционный стационар.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Рекомендовано 2 стратегии снятия наблюдения за лицами с бессимптомной формой заболевания:</w:t>
      </w:r>
    </w:p>
    <w:p w:rsidR="003B6003" w:rsidRPr="003B6003" w:rsidRDefault="003B6003" w:rsidP="003B60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однократного отрицательного результата ПЦР мазка из носоглотки взятого на 10 - й день наблюдения;</w:t>
      </w:r>
    </w:p>
    <w:p w:rsidR="003B6003" w:rsidRPr="003B6003" w:rsidRDefault="003B6003" w:rsidP="003B600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14-й день наблюдения без ПЦР - обследования.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получении положительного результата ПЦР РНК SARS CoV-2  на 10-й день наблюдения и отсутствии клинических проявлении, рекомендовано продолжить медицинское наблюдение до 14 дня с последующим  снятием  с медицинского наблюдения,   с информированием  ТД ККБТУ и соблюдением противоэпидемических норм  в соответствие с ПГГСВ.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Ведение лиц с  легкой формой COVID-19.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  с легкой  формой COVID-19   подлежат  медицинскому наблюдению в домашних условиях/карантинных объектах  по согласованию с  ПМСП с соблюдением противоэпидемического режима в соответствие с Постановлением Главного Государственного санитарного врача.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Этиотропное лечение лиц  с легкой   формой  COVID-19  не проводится.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Наблюдение  в амбулаторных условиях  проводится согласно  алгоритма: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-ежедневный однократный 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обзвон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-оценка общего состояния, температуры, выяснение жалоб (кашель, затрудненное дыхание, слабость, потливость, диарея, сыпь, миалгии и др.), сатурация (при возможности).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необходимости), но не реже 1 раза в 3 дня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нарастании клинических симптомов (повышение Т тела, кашель, затрудненное дыхание, одышка) в период наблюдения   пациент направляется в инфекционный стационар.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 с легкой  формой заболевания снимаются с медицинского наблюдения:</w:t>
      </w:r>
    </w:p>
    <w:p w:rsidR="003B6003" w:rsidRPr="003B6003" w:rsidRDefault="003B6003" w:rsidP="003B60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отсутствии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температуры тела и  регрессии  респираторных симптомов  &gt;3 дней;</w:t>
      </w:r>
    </w:p>
    <w:p w:rsidR="003B6003" w:rsidRPr="003B6003" w:rsidRDefault="003B6003" w:rsidP="003B600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 однократного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отрицательного результата    ПЦР мазка из носоглотки;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получении положительного результата ПЦР РНК SARS CoV-2  и отсутствии клинических проявлений, рекомендовано продолжить медицинское наблюдение до 14 дня (учет с первого дня заболевания, а не госпитализации) с последующим  снятием  с медицинского наблюдения и информированием  ТД ККБТУ. Рекомендовано соблюдение противоэпидемического режима  в соответствие с ПГГСВ.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Ведение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реконвалесцентов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COVID-19.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выписки из стационара медицинское наблюдение  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реконвалесцентов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  перенесших среднетяжелую, тяжелую форму заболевания продолжается в  домашних условиях  в течение 14 дней  с оценкой общего состояния. По показаниям проводится психологическая и респираторная реабилитация или  лечение/реабилитация в профильном стационаре (Приложение 11,15, 16).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6003" w:rsidRPr="003B6003" w:rsidRDefault="003B6003" w:rsidP="003B6003">
      <w:pPr>
        <w:shd w:val="clear" w:color="auto" w:fill="6A9FBE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</w:pPr>
      <w:r w:rsidRPr="003B6003"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  <w:t>Лечение (стационар)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ЛЕЧЕНИЯ НА СТАЦИОНАРНОМ УРОВНЕ [4, 26-35]: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Маршрутизация пациента с COVID-19 в зависимости от степени тяжести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05925" cy="4695825"/>
            <wp:effectExtent l="0" t="0" r="9525" b="9525"/>
            <wp:docPr id="1" name="Рисунок 1" descr="Маршрутизация пациента с К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_image" descr="Маршрутизация пациента с КВ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Факторы риска тяжелого и осложненного течения COVID - 19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 Возраст старше 65 лет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 Сопутствующие БСК (артериальная гипертония, ХСН и др.)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 Сопутствующие хронические заболевания дыхательной системы (ХОБЛ, БА, фиброзные изменения в легких и др.)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 Эндокринопатии (сахарный диабет, метаболический синдром, ожирение и др.)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          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(онкологические, гематологические больные, больные на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др.)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 Другие тяжелые хронические заболевания (ХБП и др.)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**Осложнения: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 Острая дыхательная недостаточность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 Острая сосудистая недостаточность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 Отек легких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 Сепсис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           Инфекционно-токсический шок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Немедикаментозное лечение:</w:t>
      </w:r>
    </w:p>
    <w:p w:rsidR="003B6003" w:rsidRPr="003B6003" w:rsidRDefault="003B6003" w:rsidP="003B60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– полупостельный/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постельный,  при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 рекомендовано применение  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-позиций  для улучшения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с постепенным увеличением времени (1 час-2 часа-4 часа и более, ночной сон)</w:t>
      </w:r>
    </w:p>
    <w:p w:rsidR="003B6003" w:rsidRPr="003B6003" w:rsidRDefault="003B6003" w:rsidP="003B60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Диета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сбалансированная по содержанию белков, жиров, углеводов, микроэлементов с учетом    сопутствующей патологии.</w:t>
      </w:r>
    </w:p>
    <w:p w:rsidR="003B6003" w:rsidRPr="003B6003" w:rsidRDefault="003B6003" w:rsidP="003B600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Дренажные мероприятия – при наличии признаков пневмонии по показаниям (см. протокол «Внебольничная пневмония у взрослых»)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Медикаментозное лечение [4;26-27;29-34;36-61]:</w:t>
      </w:r>
    </w:p>
    <w:p w:rsidR="003B6003" w:rsidRPr="003B6003" w:rsidRDefault="003B6003" w:rsidP="003B6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ВОЗ, до настоящего момента нет эффективной специфической терапии заболевания, вызванного COVID-19, поэтому главным принципом в ведении пациентов с подтвержденным диагнозом   COVID-19 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остаетсяоптимальное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патогенетическое и симптоматическое лечение   в зависимости от характера клинических симптомов, тяжести заболевания, наличия/отсутствия пневмонии (рентген и КТ/признаки), вида и степени осложнений, сопутствующих заболеваний, которое проводят с целью облегчения симптомов и поддержания функций органов и систем при более тяжелом течении. </w:t>
      </w:r>
    </w:p>
    <w:p w:rsidR="003B6003" w:rsidRPr="003B6003" w:rsidRDefault="003B6003" w:rsidP="003B600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  во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мире проводятся клинические исследования и анализируются международные подходы по эмпирическому  лечению пациентов с COVID-19 препаратами с предполагаемой этиотропной эффективностью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off-label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которых  до сих пор не позволяют сделать бесспорный вывод об их эффективности и безопасности.</w:t>
      </w:r>
    </w:p>
    <w:p w:rsidR="003B6003" w:rsidRPr="003B6003" w:rsidRDefault="003B6003" w:rsidP="003B6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текущей ситуации в связи с ограниченностью доказательной базы по лечению COVID-19,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 этиотропных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вмешательствoff-label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медицинской помощи допустимо при подписании пациентами информированного согласия (Приложение 12)в установленном порядке  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случае, если потенциальная польза для него превысит риск их применения.</w:t>
      </w:r>
    </w:p>
    <w:p w:rsidR="003B6003" w:rsidRPr="003B6003" w:rsidRDefault="003B6003" w:rsidP="003B6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Этиотропные препараты назначаются с целью подавления репликации вируса и снижения вирусной нагрузки, в связи с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  важное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имеет ранний старт терапии в рамках терапевтического окна (в первые 72 часа от начала клинических проявлений до развития распространенного процесса в легких).</w:t>
      </w:r>
    </w:p>
    <w:p w:rsidR="003B6003" w:rsidRPr="003B6003" w:rsidRDefault="003B6003" w:rsidP="003B6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легкой форме заболевания этиотропная терапия не </w:t>
      </w:r>
      <w:proofErr w:type="spellStart"/>
      <w:proofErr w:type="gram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назначается.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тяжелом/критическом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теченииназначение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этиотропных препаратов  не влияет на исход заболевания, приоритетным является 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с осложнениями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003" w:rsidRPr="003B6003" w:rsidRDefault="003B6003" w:rsidP="003B600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этиотропного лечения COVID-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19  у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коморбидных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   требует  тщательного подбора препаратов с учетом  лекарственного взаимодействия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Патогенетическая терапия [2, 37-56].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легкой и среднетяжелой   формах заболевания настоятельно рекомендуется обильное питье в теплом виде из расчета 30 мл/кг веса (с целью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увлажнения слизистых оболочек и облегчения отхождения мокроты).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Инфузионная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терапия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назначается из расчета суточной физиологической потребности в жидкости, с учетом патологических потерь (рвота, жидкий стул, лихорадка, повышенная перспирация) 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почасового диуреза в составе: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кристаллоидные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в/в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скоростью до 90 капель/мин (1–4,5 мл/мин) 400–800 мл/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альбумин 10–20% раствор в/в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(пациентам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гипоальбуминемией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показаний).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ОРДС, признаков отека легких целесообразно ограничение жидкостной нагрузки на 30% от суточной физиологической потребности. Применение петлевых диуретиков (фуросемид по показаниям).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Интенсивная терапия при развитии ДН и ОРДС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3,4, 9).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Тоцилизумаб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(препарат на основе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моноклональных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антител, ингибирует рецепторы ИЛ-6) показан для пациентов c тяжелым течением: с острым респираторным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-синдромом, синдромом «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шторма» после определения интерлейкина-6,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ферритина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Концентрат для приготовления раствора для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мг внутривенно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(в течение не менее 1 часа) 4-8 мг/кг, при недостаточности эффекта повторить  введение  через 8 ч до 3 раз.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Реконвалесцентная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плазма** показана пациентам  COVID-19 в тяжелом и критическом состоянии (болеющих более трех недель) при отсутствии риска венозных тромбоэмболий. Общий план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инфузионного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вливания, дозировка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плазмы составляет от 400 мл при однократном вливании или от 200 мл за одну процедуру при многократном вливании  (Приложение 9).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Системные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глюкокортикостероиды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рекомендуется рутинно назначать для лечения вирусной пневмонии, если нет других жизненно важных показаний к назначению ГКС. Короткий курс ГКС (5-7 дней) в суточной дозе 1-1,5 мг/кг(по преднизолону) может быть назначен по следующим показаниям  (длительная высокая лихорадка более 38С, быстрое прогрессирование процесса в легких с объемом поражения более 50%,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лимфопения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15%, выявление консолидации на КТ) [40, 52, 56](Приложение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Ингаляционные   кортикостероиды: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 с ХОБЛ, астмой, аллергическим ринитом рекомендуется продолжать предписанные  ингаляционные   кортикостероиды. Применение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небулайзерной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при необходимости  должно проводится в отдельной комнате с отрицательным давлением [56](Приложение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Антибактериальная терапия при COVID-19:вирусная пневмония при  COVID-19 не является показанием для стартовой эмпирической  антибактериальной терапии.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АБТ показано при присоединении вторичной бактериальной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пневмонии  и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проводится   в соответствии с Клиническим протоколом «Пневмония у взрослых (внебольничная пневмония)» и Клиническим протоколом «Пневмония у детей»* [29-30].При обострении хронических очагов инфекции и присоединении бактериальных осложнений любой локализации проводится антибактериальная терапия (эмпирическая и с учетом чувствительности выделенного штамма). 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Ингибиторы АПФ и блокаторы рецепторов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ангиотензина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II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пациенты, имеющие сопутствующую патологию сердечно-сосудистой системы (или другие показания) на фоне COVID-19, котором раннее были назначены ИАПФ и БРА, должны продолжать прием данных препаратов [56](Приложение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Статины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пациенты с COVID-19, которым назначена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статиновая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для лечения или профилактики сердечно-сосудистых заболеваний, должны продолжать прием этих препаратов [56](Приложение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НПВС: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пациенты с COVID-19, которые принимают НПВС для лечения сопутствующего заболевания, должны продолжать ранее назначенную терапию [56](Приложение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нтикоагулянты рекомендуются  госпитализированным 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пациентамс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COVID-19 в зависимости от наличия риска  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тромбэмболических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осложнений и степени тяжести 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  (Приложение 17) [54, 57,60] 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Лечение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коморбидных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заболеваний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состояний и осложнений осуществляется в соответствии с клиническими протоколами диагностики и лечения по данным заболеваниям, состояниям и осложнениям(Приложение 14).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Симптоматическая терапия [52]:</w:t>
      </w:r>
    </w:p>
    <w:p w:rsidR="003B6003" w:rsidRPr="003B6003" w:rsidRDefault="003B6003" w:rsidP="003B600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купирование лихорадки (жаропонижающие препараты – парацетамол,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ибупрофен,  физические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охлаждения) [39,54];</w:t>
      </w:r>
    </w:p>
    <w:p w:rsidR="003B6003" w:rsidRPr="003B6003" w:rsidRDefault="003B6003" w:rsidP="003B600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терапия пневмонии (</w:t>
      </w:r>
      <w:proofErr w:type="spellStart"/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мукоактивные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средства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разжижения мокроты, препараты стимулирующие кашель не рекомендуются).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Этиотропная терапия*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 среднетяжелом и тяжелом течении COVID-19 (по показаниям)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[27, 38, 65, 66, 67]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1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Гидроксихлорохин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1й-день по  400 мг  х 2 раза в день  каждые 12 часов (800 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  2-го по 5 –й дни   по  200 мг х  2 раза  в день (400 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Хлорохина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фосфат**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  1-2-й день -  по 500 мг 2 раза в день (1000 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3-го  по 5  дни  по 500 мг х 1 раз в день (500 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2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Лопинавир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ритонавир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400 мг/100 мг х  2 раза в сутки, интервал между приемами 12 часов (800/200 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 - 10 дней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3 - комбинированная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Лопинавир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ритонавир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400 мг/100 мг х 2 раза в сутки, интервал между приемами 12 часов (800/200 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 - 10 дней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Примечание: коррекция дозы индивидуально (снижение до 400/100 мг в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 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Интерферон бета 1а,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в/в 10 мкг 1 раз в день в течение 6 дней или подкожно 44 мг в 1,3,6 дни (всего 3 дозы)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4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Ремдесивир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***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клинических исследований  200 мг в/в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день, затем 100 мг в/в ежедневно, всего 10 дней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Схемы лечения, включающие экспериментальные этиотропные  препараты назначаются пациенту  только при подписании информированного согласия (Приложение 12) лично или его законным представителем в рамках участия в клиническом исследовании. В случае невозможности проведения или участия пациента в контролируемом клиническом 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исследовании применение экспериментальных препаратов возможно исходя из принципов гуманизма, когда польза от применения   превышает риск последствий и только при подписании пациентом или его законным представителем информированного согласия на использование экспериментального лечения, принимая во внимание возможные побочные эффекты. Применение экспериментального препарата или вмешательства в исключительном порядке проводится под наблюдением, и результаты, включая побочные эффекты, фиксируются и своевременно публикуются и сообщаются  с целью информирования широкой медицинской и научной общественности (</w:t>
      </w:r>
      <w:hyperlink r:id="rId7" w:history="1">
        <w:r w:rsidRPr="003B6003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https://www.who.int/ru/news-room/commentaries/detail/off-label-use-of-medicines-for-covid-19</w:t>
        </w:r>
      </w:hyperlink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Хлорохин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гидроксихлорохин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кардиотоксичностью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прием может сопровождаться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  синдрома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удлиненного QT, а их комбинации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азитромицином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 риску возникновения желудочковых аритмий, синдрому внезапной смерти. Вопросы о назначении этих препаратов и их комбинаций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азитромицином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измененной ЭКГ и наличия БСК и о продолжении терапии в случае возникших на фоне лечения изменений ЭКГ решаются строго индивидуально, в тесном взаимодействии с кардиологом и другими профильными специалистами.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Хлорохин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гидроксихлорохин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лицам в возрасте от 18 до 65 лет. ЭКГ назначается перед началом лечения, через 2-3 часа после приема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гидроксихлорохина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 ЭКГ рекомендуется проводить ежедневно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*** - после регистрации в РК, применение в рамках клинических исследований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Лекарственные взаимодействия противовирусных препаратов представлены в Приложении 14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Тактика лечения, включающие   этиотропные препараты*  детей и женщин в период  беременности с подтвержденным случаем COVID-19 [41, 55-61].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Появились новые данные о педиатрическом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мультисистемном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воспалительном синдроме (ПМВС), который является редким, но серьезным заболеванием, связанным с COVID-19, о котором сообщалось у детей из Европы и США [59].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Клинические признаки включают постоянную лихорадку, гипотензию, желудочно-кишечные симптомы, сыпь, миокардит и лабораторные данные, связанные с усилением воспаления; респираторные симптомы могут отсутствовать. Клинические особенности ПМВС аналогичны клиническим признакам болезни Кавасаки, синдрома шока при болезни Кавасаки и синдрома токсического шока. Большинство детей с ПМВС дали положительный результат на SARS-CoV-2 или имели эпидемиологическую связь с пациентом с COVID-19. Для детей, которые соответствуют полным или частичным критериям болезни Кавасаки, ранняя диагностика и лечение болезни Кавасаки имеют решающее значение для предотвращения долгосрочных осложнений (например, аневризм коронарных артерий).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которые соответствуют критериям болезни Кавасаки, диагностику ПМВС   и тактику ведения  следует определить консилиумом (детские инфекционисты, ревматологи, кардиологи, реаниматологи) в соответствии с КП диагностики и лечения «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-кожный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лимфонодулярный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Кавасаки у детей» [59,64].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текущей ситуации в связи  с ограниченностью доказательной базы по лечению COVID-19 у детей,  применение  этиотропных препаратов  не рекомендуется. Детям   показана  патогенетическая   и симптоматическая терапия.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Этиотропная терапия беременным женщинам  может быть рекомендована по решению консилиума при тяжелом течении заболевания, когда польза превышает риск  при подписании  информированного согласия[61].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Беременным при тяжелом течении COVID-19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400 мг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лопинавира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/100 мг </w:t>
      </w:r>
      <w:proofErr w:type="spell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ритонавира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каждые 12 часов (800/200мг/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течение 10 дней в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таблетированной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перорального приема препараты (400 мг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лопинавира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100 мг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ритонавира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вводятся через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назогастральный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 в виде суспензии (5 мл) каждые 12 часов в течение 10  дней [41]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Новорожденных следует изолировать как минимум на 14 дней или до прекращения выделения вируса; также в течение этого времени не рекомендуется кормить грудью[41, 58].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экстренном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прерывании беременности принимаются консилиумом акушер-гинекологов, неонатологов,  реаниматологов, инфекционистов и других профильных специалистов  по акушерским показаниям в зависимости от срока беременности, состояния матери и стабильности состояния плода.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перевода взрослых в ОРИТ: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(Достаточно одного из критериев)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 для перевода взрослых в ОРИТ осуществляется после осмотра реаниматолога (достаточно одного синдрома из критериев)</w:t>
      </w:r>
    </w:p>
    <w:p w:rsidR="003B6003" w:rsidRPr="003B6003" w:rsidRDefault="003B6003" w:rsidP="003B60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Дыхательная недостаточность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десатурация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(менее 85-90%) при адекватной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оксигенотрапии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(2-4    л/мин через назальные канюли в положении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Pron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-позиции), ЧДД более 30 в минуту</w:t>
      </w:r>
    </w:p>
    <w:p w:rsidR="003B6003" w:rsidRPr="003B6003" w:rsidRDefault="003B6003" w:rsidP="003B60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Нарушения сознания любого генеза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(гипоксического, сосудистого, печеночная или почечная (уремическая) энцефалопатия)</w:t>
      </w:r>
    </w:p>
    <w:p w:rsidR="003B6003" w:rsidRPr="003B6003" w:rsidRDefault="003B6003" w:rsidP="003B600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Нарушения кровообращения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гипотензия (САД менее 90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мм.рт.ст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гипертензия (САД выше 190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мм.рт.ст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первичном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кризовом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впервые возникшие сложные, угрожаемые нарушения ритма сердца (желудочковая экстрасистолия, желудочковая тахикардия, фибрилляция желудочков) и нарушения проводимости по типу АВ блокады 2 степени, сопровождающиеся приступами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синкопэ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(синдром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Морганьи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-Адамса-Стокса (МЭС))</w:t>
      </w:r>
    </w:p>
    <w:p w:rsidR="003B6003" w:rsidRPr="003B6003" w:rsidRDefault="003B6003" w:rsidP="003B600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Острая печеночная недостаточность с клиническими и лабораторными проявлениями: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сознания: печеночная энцефалопатия  2-3 ст.;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гипопротеинемия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(белок ниже 45 г/л);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гипокоагуляция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(ПТИ менее 70%; МНО более 1,5; АЧТВ более 45 сек при отсутствии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гепаринотерапии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клиническими проявлениями геморрагического синдрома);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повышение уровня билирубина выше нормы более чем на 20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/л за сутки в течении 2-х суток</w:t>
      </w:r>
    </w:p>
    <w:p w:rsidR="003B6003" w:rsidRPr="003B6003" w:rsidRDefault="003B6003" w:rsidP="003B600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Острая почечная недостаточность: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в 2 раза выше нормы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олигоанурией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(500 и менее мл/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адекватной гидратации;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склонность к гипогликемии (сахар крови менее 3,0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/л с клиническими проявлениями).</w:t>
      </w:r>
    </w:p>
    <w:p w:rsidR="003B6003" w:rsidRPr="003B6003" w:rsidRDefault="003B6003" w:rsidP="003B600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Коагулопатия</w:t>
      </w:r>
      <w:proofErr w:type="spellEnd"/>
      <w:r w:rsidRPr="003B60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свертывания крови  менее 3 минут на фоне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гепаринотерапии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более 15 минут при отсутствии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гепаринотерапии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нарастающая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петехиальная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геморрагическая сыпь, появление гематом;</w:t>
      </w:r>
    </w:p>
    <w:p w:rsidR="003B6003" w:rsidRPr="003B6003" w:rsidRDefault="003B6003" w:rsidP="003B600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нарастающая тромбоцитопения (число тромбоцитов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 100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тыс./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мкл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снижение на 50% от наивысшего значения в течение 3-х дней).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перевода в ОРИТ у детей:</w:t>
      </w:r>
    </w:p>
    <w:p w:rsidR="003B6003" w:rsidRPr="003B6003" w:rsidRDefault="003B6003" w:rsidP="003B6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пульсоксиметрии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92%;</w:t>
      </w:r>
    </w:p>
    <w:p w:rsidR="003B6003" w:rsidRPr="003B6003" w:rsidRDefault="003B6003" w:rsidP="003B6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дети до 1 года – ЧДД более 60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до 5 лет – более 40 в мин, старше 5 лет – более 30 в мин;</w:t>
      </w:r>
    </w:p>
    <w:p w:rsidR="003B6003" w:rsidRPr="003B6003" w:rsidRDefault="003B6003" w:rsidP="003B6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кашля с примесью крови в мокроте, боли или тяжести в груди;</w:t>
      </w:r>
    </w:p>
    <w:p w:rsidR="003B6003" w:rsidRPr="003B6003" w:rsidRDefault="003B6003" w:rsidP="003B6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рвота;</w:t>
      </w:r>
    </w:p>
    <w:p w:rsidR="003B6003" w:rsidRPr="003B6003" w:rsidRDefault="003B6003" w:rsidP="003B6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 и диуреза;</w:t>
      </w:r>
    </w:p>
    <w:p w:rsidR="003B6003" w:rsidRPr="003B6003" w:rsidRDefault="003B6003" w:rsidP="003B600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высокой лихорадки (более 4-5 суток)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рефрактерностью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жаропонижающим средствам и развитием тяжелых осложнений.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    Диагностика и лечение неотложных состояний при COVID- 19   и проведение ЭКМО представлены в Приложениях 3 и 4.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лекарственных средств: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дополнительных лекарственных средств:</w:t>
      </w:r>
    </w:p>
    <w:p w:rsidR="003B6003" w:rsidRPr="003B6003" w:rsidRDefault="003B6003" w:rsidP="003B600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2650"/>
        <w:gridCol w:w="2548"/>
        <w:gridCol w:w="2056"/>
      </w:tblGrid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Фармакотерапевтическая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Международное непатентованное наименование ЛС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доказательности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с противовирусным механизмом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Взрослым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400 мг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мг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х  2 раза в сутки, интервал между приемами 12 часов, суточная доза  800/200 мг – 10 дней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невозможности перорального приема препаратов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(400 мг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мг 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вводится в виде суспензии (5 мл) каждые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часов в течение 10дней через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зонд.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D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Лекарственный препарат из группы 4-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Хлорохина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фосфат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1-2-й день -  по 500 мг 2 раза в день (1000 мг/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3-го  по 5  дни  по 500 мг х 1 раз в день (500 мг/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  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Лекарственный препарат из группы 4-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1й-день по  400 мг  х 2 раза в день  каждые 12 часов (800 мг/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  2-го по 5 –й дни   по  200 мг х  2 раза  в день (400 мг/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лекарственные средства с противовирусным механизмом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мг в/в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день, затем 100 мг в/в ежедневно, всего 10 дней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 на основе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моноклональных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антител, ингибирует рецепторы ИЛ-6.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 мг внутривенно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капельно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медленно (в течение не менее 1 часа), при недостаточном эффекте повторить введение через 12 ч. Однократно вводить не более 800 мг.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Фармакотерапевтическая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Международное непатентованное наименование ЛС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доказательности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НПВС. Анальгетики-антипиретики другие.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Парацетамол, таблетки 200 мг, 500 мг;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суппозитория 100, 250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мг,суспензии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мг/5мл; р-р для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1%; 10 мг/мл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Взрослые: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Таблетки: 500 мг каждые 4–6 ч при необходимости. Интервал между приемами – не менее 4 ч. Максимальная суточная доза парацетамола не должна превышать 4 г.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Р-р для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Максимальная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суточная доза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≤ 10 кг - 30 мг/кг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&gt; 10 кг до ≤ 33 кг - 60 мг/кг не более 2 г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&gt; 33 кг до ≤ 50 кг  - 60 мг/кг не более 3 г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&gt; 50 кг – 100 мл - 3 г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Дети: перорально 10-15 мг/кг с интервалом не менее 4 часов, не более трех дней через рот или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НПВС. Производные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Ибупрофен - </w:t>
            </w:r>
            <w:proofErr w:type="gram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gram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покрытые плёночной оболочкой 200 мг, 400 мг. Суспензия 100мг/5мл; 200 мг/5мл.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Р-р для внутривенного введения 400 мг/4 мл; 800мг/8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Взрослые, пожилые и дети старше 12 лет: в таблетках по 200 мг 3-4 раза в сутки; в таблетках по 400 мг 2-3 раза в сутки. Суточная доза составляет 1200 мг (не принимать больше 6 таблеток по 200 мг (или 3 таблеток по 400 мг) в течение 24 ч.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Р-р для внутривенного введения: после введения 400 мг препарата возможен прием еще по 400 мг каждые 4-6 часов или по 100-200 мг каждые 4 часа. Продолжительность внутривенного введения должна быть не менее 30 минут.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Детям с 6 до 12 лет (с массой тела более 20 кг): по 1 таблетке 200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 не более 4 раз в день. Интервал между приёмом таблеток не менее 6 часов.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Суспензия:  суточная доза 20-30 мг/кг массы тела, с интервалом 6 - 8 часов (или если это необходимо, соблюдать по крайней мере 4-х часовой интервал между приемами) не более 3-х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Регуляторы водно-электролитного баланса и КЩС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хлорид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0,9% раствор по 100 мл, 200 мл, 250 мл, 400 мл, 500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0,9% раствора натрия хлорида из расчета 10- 20 мл/кг в течение 30 мин в/в (под контролем гемодинамики).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Агонист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допаминовых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рецепторов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Бета1-адреномиметик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флакон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0,05-0,3 мкг/кг/мин – введение только при наличии центрального доступа;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центрального доступа вводится  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5-10-15 мкг/кг/мин и/или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5-10 мкг/кг/мин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энтерального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парентерального питания. Заменители плазмы и других компонентов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10% 50 мл, 100 мл, 200 мл,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20% 50 мл, 100 мл, 200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10–20% раствор в/в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1% 2 мл (20 мг)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доза 1 мг/кг.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водно-электролитного баланса и КЩС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Растворгидрокарбоната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100 мл, 200 мл, 400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Глюкокортикостероиды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 30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1мл – 30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 плазмы крови и плазмозамещающие препараты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Гемостатическое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  по 50-300 мл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Криопреципитат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 доза 100 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Инфузия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СЗП в объеме 15-20 мл/кг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струйно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доза КП на 10 кг массы больного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Плазма крови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реконвалесцентов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COVID-19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Антикоагулянт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мл 5000 МЕ 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 5000 МЕ/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непрерывной внутривенной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инфузии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1000-2000 МЕ/ч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Низкомолекулярный гепарин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Надропарин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раствор для инъекций в предварительно наполненных шприцах, 2850 ME анти-Ха/0,3 мл, 3800 ME анти-Ха/0,4 мл, 5700 ME анти-Ха/0,6 мл,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в шприцах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4000 анти-Ха МЕ/0,4 мл,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6000 анти-Ха МЕ/0,6 мл,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8000 анти-Ха МЕ/0,8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–  для профилактики ВТЭ подкожно 0,3-0,6 мл 1 раз в сутки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лечения  ТГВ и ТЭЛА  из расчета 0,1 мл на кг массы тела н/р  если вес пациента составляет 60 кг то ему 0,6 2 раза в сутки и  далее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– подкожно по 0,1 мл/10 кг 1 раз в сутки под контролем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коагулограммы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(ингибирование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Xа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 свертывания крови)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Взрослые - Подкожно 0,2-0,4мл 1 раз в сутки для профилактики ВТЭ 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лечения  ТГВ и ТЭЛА  из расчета 1 мг/кг массы тела 2 раза/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детей до 18 лет не рекомендован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Пациентам с КК менее 30 мл/мин назначать не следует.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Фондапаринукс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п/к и в/в введения;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0,5 мл препарата в предварительно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наполненном шприце из стекла.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применять внутримышечно!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Взрослым для профилактики ТЭ 2,5 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 1 раз в сутки в виде подкожной инъекции. Для лечения  ТГВ и ТЭЛА для пациентов с массой тела менее 50 кг - 5 мг; для пациентов с массой тела 50-100 кг – 7.5 мг; для пациентов с массой тела более 100 кг - 10 мг.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Пациентам с КК менее 30 мл/мин назначать не следует.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Безопасность и эффективность препарата у детей в возрасте до 17 лет не установлена.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Н2 –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гистамино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-блокаторы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Ингибиторы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протоновой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помпы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Таб. 10 мг, 20 мг, 40 мг, </w:t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инъекционных растворов в ампулах по 0,02 г в комплекте с растворителем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  10 мг, 20 мг, порошок для инъекционных растворов во флаконах по 0,04г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 в сутки внутрь, внутривенно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мг в сутки внутрь, внутривенно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</w:p>
        </w:tc>
      </w:tr>
      <w:tr w:rsidR="003B6003" w:rsidRPr="003B6003" w:rsidTr="003B60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Противовирусный лекарственный препарат из семейства интерферонов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 1 а –в/в – 10 мкг 1 раз в день в течение 6 дней или/ подкожно 44 мг в 1,3,6 дни (всего  3 дозы)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мкг внутривенно, 44 мг  подкожно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6003" w:rsidRPr="003B6003" w:rsidRDefault="003B6003" w:rsidP="003B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</w:tr>
    </w:tbl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*** - после регистрации в РК, применение в рамках клинических исследований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Хирургическое вмешательство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нет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Дальнейшее ведение: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Исходы заболевания: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Выздоровление/улучшение (исчезновение/регресс клинических симптомов заболевания и рентгенологических/КТ-признаков пневмонии с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эрадикацией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возбудителя, документированного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отрицательнымрезультатом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ПЦРРНК SARS CoV-2). У лиц с бессимптомными формами   -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возбудителя, документированного отрицательным результатом ПЦР РНК SARS CoV-2 после наблюдения в течение 2 недель при отсутствии манифестации клинических проявлений заболевания и рентгенологических/КТ- признаков пневмонии.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Реконвалесцентное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вирусоносительство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(исчезновение/регресс клинических и рентгенологических/КТ-признаков пневмонии без 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возбудителя, документированного стойко положительным результате ПЦР РНК SARS CoV-2 после лечения и наблюдения более 1 месяца).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Летальный исход.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пациентов из стационара [62, 63]:</w:t>
      </w:r>
    </w:p>
    <w:p w:rsidR="003B6003" w:rsidRPr="003B6003" w:rsidRDefault="003B6003" w:rsidP="003B600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Клинико-инструментальные критерии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отсутствие повышенной температуры тела &gt;3 дней, регрессия респираторных симптомов и признаков воспаления по результатам визуализации легких (положительная динамика рентгенологической и КТ-картины);</w:t>
      </w:r>
    </w:p>
    <w:p w:rsidR="003B6003" w:rsidRPr="003B6003" w:rsidRDefault="003B6003" w:rsidP="003B600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критерии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однократно   </w:t>
      </w:r>
      <w:proofErr w:type="gramStart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отрицательный  результат</w:t>
      </w:r>
      <w:proofErr w:type="gramEnd"/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ПЦР мазка из носоглотки (</w:t>
      </w: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контрольныйПЦР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мазка из носоглотки назначается при наличии клинико- инструментальных критериев выздоровления/улучшения).</w:t>
      </w:r>
    </w:p>
    <w:p w:rsidR="003B6003" w:rsidRPr="003B6003" w:rsidRDefault="003B6003" w:rsidP="003B600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на дальнейшее амбулаторное лечение возможно по согласованию с ПМСП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Примечания: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при положительном результате контрольного ПЦР-тестирования  и клиническом </w:t>
      </w:r>
      <w:proofErr w:type="spellStart"/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выздоровлениипациент</w:t>
      </w:r>
      <w:proofErr w:type="spellEnd"/>
      <w:r w:rsidRPr="003B60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продолжает медицинское наблюдение в домашних условиях по согласованию с  ПМСП с соблюдением противоэпидемического режима в соответствии с Постановлением Главного Государственного санитарного врача.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 эффективности лечения:</w:t>
      </w:r>
    </w:p>
    <w:p w:rsidR="003B6003" w:rsidRPr="003B6003" w:rsidRDefault="003B6003" w:rsidP="003B60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Клиническое выздоровление</w:t>
      </w:r>
    </w:p>
    <w:p w:rsidR="003B6003" w:rsidRPr="003B6003" w:rsidRDefault="003B6003" w:rsidP="003B60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рентгенологической/КТ – картины</w:t>
      </w:r>
    </w:p>
    <w:p w:rsidR="003B6003" w:rsidRPr="003B6003" w:rsidRDefault="003B6003" w:rsidP="003B600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Негативация</w:t>
      </w:r>
      <w:proofErr w:type="spell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ПЦР- теста</w:t>
      </w:r>
    </w:p>
    <w:p w:rsidR="00482D6D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Специализированная экстренная помощь пациентам с СОVID 19 оказывается в многопрофильных инфекционных стационарах с наличием    операционной, ОРИТ, родильного зала.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с отрицательным результатом ПЦР мазка из носоглотки, нуждающиеся в лечении сопутствующих заболеваний, подлежат по показаниям  и  согласованию  переводу  в   профильное отделение/ многопрофильный  стационар.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3B6003" w:rsidRPr="003B6003" w:rsidRDefault="003B6003" w:rsidP="003B6003">
      <w:pPr>
        <w:shd w:val="clear" w:color="auto" w:fill="6A9FBE"/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</w:pPr>
      <w:r w:rsidRPr="003B6003">
        <w:rPr>
          <w:rFonts w:ascii="inherit" w:eastAsia="Times New Roman" w:hAnsi="inherit" w:cs="Times New Roman"/>
          <w:b/>
          <w:bCs/>
          <w:color w:val="FFFFFF"/>
          <w:sz w:val="41"/>
          <w:szCs w:val="41"/>
          <w:lang w:eastAsia="ru-RU"/>
        </w:rPr>
        <w:lastRenderedPageBreak/>
        <w:t>Госпитализация</w:t>
      </w:r>
    </w:p>
    <w:p w:rsidR="003B6003" w:rsidRPr="003B6003" w:rsidRDefault="003B6003" w:rsidP="003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ГОСПИТАЛИЗАЦИИ С УКАЗАНИЕМ ТИПА ГОСПИТАЛИЗАЦИИ [1,4]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плановой госпитализации: 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для экстренной госпитализации:</w:t>
      </w:r>
    </w:p>
    <w:p w:rsidR="003B6003" w:rsidRPr="003B6003" w:rsidRDefault="003B6003" w:rsidP="003B60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подозрении на COVID-19 на этапе скорой </w:t>
      </w:r>
      <w:proofErr w:type="gramStart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  маршрутизация</w:t>
      </w:r>
      <w:proofErr w:type="gramEnd"/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 проводится согласно Приложению 1. Маршрутизация пациентов с подозрением на COVID-19 на стационарном этапе   после проведенного обследования   представлена в  Приложении 2.  Алгоритм действий при подозрении  на COVID-19 у новорожденных,  беременных, родильниц, рожениц  реализуется в соответствии  с Приложениями 5,6.</w:t>
      </w:r>
      <w:r w:rsidRPr="003B60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Транспортировка пациентов с подтвержденным диагнозом COVID-19   в инфекционный стационар осуществляется бригадой скорой медицинской помощи с использованием СИЗ [23-25].</w:t>
      </w:r>
    </w:p>
    <w:p w:rsidR="003B6003" w:rsidRDefault="003B6003"/>
    <w:sectPr w:rsidR="003B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718"/>
    <w:multiLevelType w:val="multilevel"/>
    <w:tmpl w:val="B32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B3B48"/>
    <w:multiLevelType w:val="multilevel"/>
    <w:tmpl w:val="CCCA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947E2"/>
    <w:multiLevelType w:val="multilevel"/>
    <w:tmpl w:val="E688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09F9"/>
    <w:multiLevelType w:val="multilevel"/>
    <w:tmpl w:val="A71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56B21"/>
    <w:multiLevelType w:val="multilevel"/>
    <w:tmpl w:val="471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839D0"/>
    <w:multiLevelType w:val="multilevel"/>
    <w:tmpl w:val="5436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F04A6"/>
    <w:multiLevelType w:val="multilevel"/>
    <w:tmpl w:val="E7EA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E52FB"/>
    <w:multiLevelType w:val="multilevel"/>
    <w:tmpl w:val="3688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077E8"/>
    <w:multiLevelType w:val="multilevel"/>
    <w:tmpl w:val="A8FC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627AD"/>
    <w:multiLevelType w:val="multilevel"/>
    <w:tmpl w:val="ACB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36A77"/>
    <w:multiLevelType w:val="multilevel"/>
    <w:tmpl w:val="5D6A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E6E92"/>
    <w:multiLevelType w:val="multilevel"/>
    <w:tmpl w:val="6F2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17DE8"/>
    <w:multiLevelType w:val="multilevel"/>
    <w:tmpl w:val="1372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41EA0"/>
    <w:multiLevelType w:val="multilevel"/>
    <w:tmpl w:val="4C7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C2C83"/>
    <w:multiLevelType w:val="multilevel"/>
    <w:tmpl w:val="A1A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937EC"/>
    <w:multiLevelType w:val="multilevel"/>
    <w:tmpl w:val="2EAC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322E1"/>
    <w:multiLevelType w:val="multilevel"/>
    <w:tmpl w:val="74F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02858"/>
    <w:multiLevelType w:val="multilevel"/>
    <w:tmpl w:val="CB4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90BE5"/>
    <w:multiLevelType w:val="multilevel"/>
    <w:tmpl w:val="06AA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D71A7"/>
    <w:multiLevelType w:val="multilevel"/>
    <w:tmpl w:val="AA44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E2682"/>
    <w:multiLevelType w:val="multilevel"/>
    <w:tmpl w:val="F97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15B17"/>
    <w:multiLevelType w:val="multilevel"/>
    <w:tmpl w:val="940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A93550"/>
    <w:multiLevelType w:val="multilevel"/>
    <w:tmpl w:val="F07E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4E592D"/>
    <w:multiLevelType w:val="multilevel"/>
    <w:tmpl w:val="A272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E50CC"/>
    <w:multiLevelType w:val="multilevel"/>
    <w:tmpl w:val="D41C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967873"/>
    <w:multiLevelType w:val="multilevel"/>
    <w:tmpl w:val="2E82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53578"/>
    <w:multiLevelType w:val="multilevel"/>
    <w:tmpl w:val="F7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FB391E"/>
    <w:multiLevelType w:val="multilevel"/>
    <w:tmpl w:val="C87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722009"/>
    <w:multiLevelType w:val="multilevel"/>
    <w:tmpl w:val="80E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361CB"/>
    <w:multiLevelType w:val="multilevel"/>
    <w:tmpl w:val="0A7A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  <w:lvlOverride w:ilvl="0">
      <w:startOverride w:val="4"/>
    </w:lvlOverride>
  </w:num>
  <w:num w:numId="3">
    <w:abstractNumId w:val="4"/>
  </w:num>
  <w:num w:numId="4">
    <w:abstractNumId w:val="7"/>
  </w:num>
  <w:num w:numId="5">
    <w:abstractNumId w:val="13"/>
  </w:num>
  <w:num w:numId="6">
    <w:abstractNumId w:val="24"/>
  </w:num>
  <w:num w:numId="7">
    <w:abstractNumId w:val="15"/>
  </w:num>
  <w:num w:numId="8">
    <w:abstractNumId w:val="22"/>
  </w:num>
  <w:num w:numId="9">
    <w:abstractNumId w:val="9"/>
  </w:num>
  <w:num w:numId="10">
    <w:abstractNumId w:val="8"/>
  </w:num>
  <w:num w:numId="11">
    <w:abstractNumId w:val="0"/>
  </w:num>
  <w:num w:numId="12">
    <w:abstractNumId w:val="16"/>
  </w:num>
  <w:num w:numId="13">
    <w:abstractNumId w:val="27"/>
  </w:num>
  <w:num w:numId="14">
    <w:abstractNumId w:val="11"/>
  </w:num>
  <w:num w:numId="15">
    <w:abstractNumId w:val="12"/>
  </w:num>
  <w:num w:numId="16">
    <w:abstractNumId w:val="2"/>
  </w:num>
  <w:num w:numId="17">
    <w:abstractNumId w:val="29"/>
  </w:num>
  <w:num w:numId="18">
    <w:abstractNumId w:val="26"/>
  </w:num>
  <w:num w:numId="19">
    <w:abstractNumId w:val="14"/>
  </w:num>
  <w:num w:numId="20">
    <w:abstractNumId w:val="28"/>
  </w:num>
  <w:num w:numId="21">
    <w:abstractNumId w:val="5"/>
  </w:num>
  <w:num w:numId="22">
    <w:abstractNumId w:val="20"/>
  </w:num>
  <w:num w:numId="23">
    <w:abstractNumId w:val="23"/>
  </w:num>
  <w:num w:numId="24">
    <w:abstractNumId w:val="21"/>
  </w:num>
  <w:num w:numId="25">
    <w:abstractNumId w:val="19"/>
  </w:num>
  <w:num w:numId="26">
    <w:abstractNumId w:val="17"/>
  </w:num>
  <w:num w:numId="27">
    <w:abstractNumId w:val="10"/>
  </w:num>
  <w:num w:numId="28">
    <w:abstractNumId w:val="3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3"/>
    <w:rsid w:val="001D6FC0"/>
    <w:rsid w:val="003B6003"/>
    <w:rsid w:val="004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F5B6"/>
  <w15:chartTrackingRefBased/>
  <w15:docId w15:val="{73F9C80C-D99D-402D-85A9-F093D22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60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60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B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003"/>
    <w:rPr>
      <w:b/>
      <w:bCs/>
    </w:rPr>
  </w:style>
  <w:style w:type="character" w:styleId="a5">
    <w:name w:val="Hyperlink"/>
    <w:basedOn w:val="a0"/>
    <w:uiPriority w:val="99"/>
    <w:semiHidden/>
    <w:unhideWhenUsed/>
    <w:rsid w:val="003B60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6003"/>
    <w:rPr>
      <w:color w:val="800080"/>
      <w:u w:val="single"/>
    </w:rPr>
  </w:style>
  <w:style w:type="character" w:styleId="a7">
    <w:name w:val="Emphasis"/>
    <w:basedOn w:val="a0"/>
    <w:uiPriority w:val="20"/>
    <w:qFormat/>
    <w:rsid w:val="003B60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6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451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984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4295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0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4061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3932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857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ru/news-room/commentaries/detail/off-label-use-of-medicines-for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8469</Words>
  <Characters>48279</Characters>
  <Application>Microsoft Office Word</Application>
  <DocSecurity>0</DocSecurity>
  <Lines>402</Lines>
  <Paragraphs>113</Paragraphs>
  <ScaleCrop>false</ScaleCrop>
  <Company/>
  <LinksUpToDate>false</LinksUpToDate>
  <CharactersWithSpaces>56635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2020-06-18T07:23:00Z</dcterms:created>
  <dcterms:modified xsi:type="dcterms:W3CDTF">2020-06-18T07:25:00Z</dcterms:modified>
</cp:coreProperties>
</file>